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8" w:type="dxa"/>
        <w:tblInd w:w="-110" w:type="dxa"/>
        <w:tblLook w:val="01E0" w:firstRow="1" w:lastRow="1" w:firstColumn="1" w:lastColumn="1" w:noHBand="0" w:noVBand="0"/>
      </w:tblPr>
      <w:tblGrid>
        <w:gridCol w:w="4017"/>
        <w:gridCol w:w="5771"/>
      </w:tblGrid>
      <w:tr w:rsidR="00FB5666" w:rsidRPr="00E67299" w14:paraId="0FE5DC80" w14:textId="77777777" w:rsidTr="007A2346">
        <w:tc>
          <w:tcPr>
            <w:tcW w:w="4017" w:type="dxa"/>
            <w:hideMark/>
          </w:tcPr>
          <w:p w14:paraId="74EF48E9" w14:textId="77777777" w:rsidR="00FB5666" w:rsidRPr="00E67299" w:rsidRDefault="00FB5666" w:rsidP="007A2346">
            <w:pPr>
              <w:keepNext/>
              <w:spacing w:after="0" w:line="240" w:lineRule="auto"/>
              <w:jc w:val="center"/>
              <w:outlineLvl w:val="1"/>
              <w:rPr>
                <w:rFonts w:eastAsia="Times New Roman" w:cs="Times New Roman"/>
                <w:sz w:val="28"/>
                <w:szCs w:val="28"/>
              </w:rPr>
            </w:pPr>
            <w:r w:rsidRPr="00E67299">
              <w:rPr>
                <w:rFonts w:eastAsia="Times New Roman" w:cs="Times New Roman"/>
                <w:sz w:val="28"/>
                <w:szCs w:val="28"/>
              </w:rPr>
              <w:t>SỞ GD&amp;ĐT QUẢNG NAM</w:t>
            </w:r>
          </w:p>
          <w:p w14:paraId="1ACD0F7A" w14:textId="77777777" w:rsidR="00FB5666" w:rsidRPr="00E67299" w:rsidRDefault="00FB5666" w:rsidP="007A2346">
            <w:pPr>
              <w:spacing w:after="0" w:line="240" w:lineRule="auto"/>
              <w:jc w:val="center"/>
              <w:rPr>
                <w:rFonts w:eastAsia="Times New Roman" w:cs="Times New Roman"/>
                <w:sz w:val="28"/>
                <w:szCs w:val="28"/>
              </w:rPr>
            </w:pPr>
            <w:r w:rsidRPr="00E67299">
              <w:rPr>
                <w:rFonts w:eastAsia="Times New Roman" w:cs="Times New Roman"/>
                <w:b/>
                <w:bCs/>
                <w:sz w:val="28"/>
                <w:szCs w:val="28"/>
              </w:rPr>
              <w:t>TRUNG TÂM GDTX TỈNH</w:t>
            </w:r>
          </w:p>
        </w:tc>
        <w:tc>
          <w:tcPr>
            <w:tcW w:w="5771" w:type="dxa"/>
            <w:hideMark/>
          </w:tcPr>
          <w:p w14:paraId="47D78679" w14:textId="77777777" w:rsidR="00FB5666" w:rsidRPr="00E67299" w:rsidRDefault="00FB5666" w:rsidP="007A2346">
            <w:pPr>
              <w:keepNext/>
              <w:spacing w:after="0" w:line="240" w:lineRule="auto"/>
              <w:jc w:val="center"/>
              <w:outlineLvl w:val="1"/>
              <w:rPr>
                <w:rFonts w:eastAsia="Times New Roman" w:cs="Times New Roman"/>
                <w:b/>
                <w:bCs/>
                <w:szCs w:val="26"/>
              </w:rPr>
            </w:pPr>
            <w:r w:rsidRPr="00E67299">
              <w:rPr>
                <w:rFonts w:eastAsia="Times New Roman" w:cs="Times New Roman"/>
                <w:b/>
                <w:bCs/>
                <w:szCs w:val="26"/>
              </w:rPr>
              <w:t xml:space="preserve">  CỘNG HÒA XÃ HỘI CHỦ NGHĨA VIỆT </w:t>
            </w:r>
            <w:smartTag w:uri="urn:schemas-microsoft-com:office:smarttags" w:element="place">
              <w:smartTag w:uri="urn:schemas-microsoft-com:office:smarttags" w:element="country-region">
                <w:r w:rsidRPr="00E67299">
                  <w:rPr>
                    <w:rFonts w:eastAsia="Times New Roman" w:cs="Times New Roman"/>
                    <w:b/>
                    <w:bCs/>
                    <w:szCs w:val="26"/>
                  </w:rPr>
                  <w:t>NAM</w:t>
                </w:r>
              </w:smartTag>
            </w:smartTag>
          </w:p>
          <w:p w14:paraId="324EB0EA" w14:textId="77777777" w:rsidR="00FB5666" w:rsidRPr="00E67299" w:rsidRDefault="00FB5666" w:rsidP="007A2346">
            <w:pPr>
              <w:spacing w:after="0" w:line="240" w:lineRule="auto"/>
              <w:jc w:val="center"/>
              <w:rPr>
                <w:rFonts w:eastAsia="Times New Roman" w:cs="Times New Roman"/>
                <w:sz w:val="28"/>
                <w:szCs w:val="28"/>
              </w:rPr>
            </w:pPr>
            <w:r w:rsidRPr="00E67299">
              <w:rPr>
                <w:rFonts w:eastAsia="Times New Roman" w:cs="Times New Roman"/>
                <w:b/>
                <w:bCs/>
                <w:sz w:val="28"/>
                <w:szCs w:val="28"/>
              </w:rPr>
              <w:t>Độc lập - Tự do - Hạnh phúc</w:t>
            </w:r>
          </w:p>
        </w:tc>
      </w:tr>
      <w:tr w:rsidR="00FB5666" w:rsidRPr="00E67299" w14:paraId="0E0DEE4E" w14:textId="77777777" w:rsidTr="007A2346">
        <w:trPr>
          <w:trHeight w:val="214"/>
        </w:trPr>
        <w:tc>
          <w:tcPr>
            <w:tcW w:w="4017" w:type="dxa"/>
            <w:hideMark/>
          </w:tcPr>
          <w:p w14:paraId="0048C5AA" w14:textId="77777777" w:rsidR="00FB5666" w:rsidRPr="00E67299" w:rsidRDefault="00FB5666" w:rsidP="007A2346">
            <w:pPr>
              <w:keepNext/>
              <w:spacing w:after="0" w:line="240" w:lineRule="auto"/>
              <w:jc w:val="both"/>
              <w:outlineLvl w:val="1"/>
              <w:rPr>
                <w:rFonts w:eastAsia="Times New Roman" w:cs="Times New Roman"/>
                <w:sz w:val="12"/>
                <w:szCs w:val="12"/>
              </w:rPr>
            </w:pPr>
            <w:r w:rsidRPr="00E67299">
              <w:rPr>
                <w:noProof/>
              </w:rPr>
              <mc:AlternateContent>
                <mc:Choice Requires="wps">
                  <w:drawing>
                    <wp:anchor distT="0" distB="0" distL="114300" distR="114300" simplePos="0" relativeHeight="251659264" behindDoc="0" locked="0" layoutInCell="0" allowOverlap="1" wp14:anchorId="590C4337" wp14:editId="467B7603">
                      <wp:simplePos x="0" y="0"/>
                      <wp:positionH relativeFrom="column">
                        <wp:posOffset>3163330</wp:posOffset>
                      </wp:positionH>
                      <wp:positionV relativeFrom="paragraph">
                        <wp:posOffset>-3947</wp:posOffset>
                      </wp:positionV>
                      <wp:extent cx="2141391" cy="0"/>
                      <wp:effectExtent l="0" t="0" r="11430" b="190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3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76EF0" id="Straight Connector 1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3pt" to="41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" o:allowincell="f"/>
                  </w:pict>
                </mc:Fallback>
              </mc:AlternateContent>
            </w:r>
            <w:r w:rsidRPr="00E67299">
              <w:rPr>
                <w:noProof/>
              </w:rPr>
              <mc:AlternateContent>
                <mc:Choice Requires="wps">
                  <w:drawing>
                    <wp:anchor distT="0" distB="0" distL="114300" distR="114300" simplePos="0" relativeHeight="251660288" behindDoc="0" locked="0" layoutInCell="0" allowOverlap="1" wp14:anchorId="096B338D" wp14:editId="70A54F42">
                      <wp:simplePos x="0" y="0"/>
                      <wp:positionH relativeFrom="column">
                        <wp:posOffset>607695</wp:posOffset>
                      </wp:positionH>
                      <wp:positionV relativeFrom="paragraph">
                        <wp:posOffset>-3175</wp:posOffset>
                      </wp:positionV>
                      <wp:extent cx="975360" cy="0"/>
                      <wp:effectExtent l="0" t="0" r="15240"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37B60" id="Straight Connector 1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25pt" to="12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" o:allowincell="f"/>
                  </w:pict>
                </mc:Fallback>
              </mc:AlternateContent>
            </w:r>
          </w:p>
        </w:tc>
        <w:tc>
          <w:tcPr>
            <w:tcW w:w="5771" w:type="dxa"/>
          </w:tcPr>
          <w:p w14:paraId="02D3AFDA" w14:textId="77777777" w:rsidR="00FB5666" w:rsidRPr="00E67299" w:rsidRDefault="00FB5666" w:rsidP="007A2346">
            <w:pPr>
              <w:keepNext/>
              <w:spacing w:after="0" w:line="240" w:lineRule="auto"/>
              <w:jc w:val="both"/>
              <w:outlineLvl w:val="1"/>
              <w:rPr>
                <w:rFonts w:eastAsia="Times New Roman" w:cs="Times New Roman"/>
                <w:sz w:val="12"/>
                <w:szCs w:val="12"/>
              </w:rPr>
            </w:pPr>
          </w:p>
        </w:tc>
      </w:tr>
      <w:tr w:rsidR="00FB5666" w:rsidRPr="00E67299" w14:paraId="0F4290F3" w14:textId="77777777" w:rsidTr="007A2346">
        <w:trPr>
          <w:trHeight w:val="214"/>
        </w:trPr>
        <w:tc>
          <w:tcPr>
            <w:tcW w:w="4017" w:type="dxa"/>
          </w:tcPr>
          <w:p w14:paraId="477BD95A" w14:textId="5DAE1D6F" w:rsidR="00FB5666" w:rsidRPr="00E67299" w:rsidRDefault="00FB5666" w:rsidP="007A2346">
            <w:pPr>
              <w:keepNext/>
              <w:spacing w:after="0" w:line="240" w:lineRule="auto"/>
              <w:jc w:val="center"/>
              <w:outlineLvl w:val="1"/>
              <w:rPr>
                <w:rFonts w:eastAsia="Times New Roman" w:cs="Times New Roman"/>
                <w:sz w:val="28"/>
                <w:szCs w:val="26"/>
              </w:rPr>
            </w:pPr>
            <w:r w:rsidRPr="00E67299">
              <w:rPr>
                <w:rFonts w:eastAsia="Times New Roman" w:cs="Times New Roman"/>
                <w:sz w:val="28"/>
                <w:szCs w:val="26"/>
              </w:rPr>
              <w:t xml:space="preserve">Số: </w:t>
            </w:r>
            <w:r w:rsidR="00A476AD">
              <w:rPr>
                <w:rFonts w:eastAsia="Times New Roman" w:cs="Times New Roman"/>
                <w:sz w:val="28"/>
                <w:szCs w:val="26"/>
              </w:rPr>
              <w:t xml:space="preserve">89 </w:t>
            </w:r>
            <w:r w:rsidRPr="00E67299">
              <w:rPr>
                <w:rFonts w:eastAsia="Times New Roman" w:cs="Times New Roman"/>
                <w:sz w:val="28"/>
                <w:szCs w:val="26"/>
              </w:rPr>
              <w:t>/KH- TTGDTX</w:t>
            </w:r>
          </w:p>
          <w:p w14:paraId="754E2008" w14:textId="77777777" w:rsidR="00FB5666" w:rsidRPr="00E67299" w:rsidRDefault="00FB5666" w:rsidP="007A2346">
            <w:pPr>
              <w:spacing w:after="0" w:line="264" w:lineRule="auto"/>
              <w:jc w:val="center"/>
              <w:rPr>
                <w:rFonts w:eastAsia="Times New Roman" w:cs="Times New Roman"/>
                <w:sz w:val="24"/>
                <w:szCs w:val="24"/>
              </w:rPr>
            </w:pPr>
          </w:p>
        </w:tc>
        <w:tc>
          <w:tcPr>
            <w:tcW w:w="5771" w:type="dxa"/>
            <w:hideMark/>
          </w:tcPr>
          <w:p w14:paraId="512FBC41" w14:textId="561B130E" w:rsidR="00FB5666" w:rsidRPr="00E67299" w:rsidRDefault="00FB5666" w:rsidP="007A2346">
            <w:pPr>
              <w:keepNext/>
              <w:spacing w:after="0" w:line="240" w:lineRule="auto"/>
              <w:jc w:val="center"/>
              <w:outlineLvl w:val="1"/>
              <w:rPr>
                <w:rFonts w:eastAsia="Times New Roman" w:cs="Times New Roman"/>
                <w:i/>
                <w:iCs/>
                <w:sz w:val="28"/>
                <w:szCs w:val="26"/>
              </w:rPr>
            </w:pPr>
            <w:r>
              <w:rPr>
                <w:rFonts w:eastAsia="Times New Roman" w:cs="Times New Roman"/>
                <w:i/>
                <w:iCs/>
                <w:sz w:val="28"/>
                <w:szCs w:val="26"/>
              </w:rPr>
              <w:t xml:space="preserve">         </w:t>
            </w:r>
            <w:r w:rsidRPr="00E67299">
              <w:rPr>
                <w:rFonts w:eastAsia="Times New Roman" w:cs="Times New Roman"/>
                <w:i/>
                <w:iCs/>
                <w:sz w:val="28"/>
                <w:szCs w:val="26"/>
              </w:rPr>
              <w:t xml:space="preserve">Tam Kỳ,  ngày </w:t>
            </w:r>
            <w:r w:rsidR="00A476AD">
              <w:rPr>
                <w:rFonts w:eastAsia="Times New Roman" w:cs="Times New Roman"/>
                <w:i/>
                <w:iCs/>
                <w:sz w:val="28"/>
                <w:szCs w:val="26"/>
              </w:rPr>
              <w:t>14</w:t>
            </w:r>
            <w:r w:rsidRPr="00E67299">
              <w:rPr>
                <w:rFonts w:eastAsia="Times New Roman" w:cs="Times New Roman"/>
                <w:i/>
                <w:iCs/>
                <w:sz w:val="28"/>
                <w:szCs w:val="26"/>
              </w:rPr>
              <w:t xml:space="preserve">  tháng </w:t>
            </w:r>
            <w:r w:rsidR="00A476AD">
              <w:rPr>
                <w:rFonts w:eastAsia="Times New Roman" w:cs="Times New Roman"/>
                <w:i/>
                <w:iCs/>
                <w:sz w:val="28"/>
                <w:szCs w:val="26"/>
              </w:rPr>
              <w:t>10</w:t>
            </w:r>
            <w:r w:rsidRPr="00E67299">
              <w:rPr>
                <w:rFonts w:eastAsia="Times New Roman" w:cs="Times New Roman"/>
                <w:i/>
                <w:iCs/>
                <w:sz w:val="28"/>
                <w:szCs w:val="26"/>
              </w:rPr>
              <w:t xml:space="preserve">  năm 2024</w:t>
            </w:r>
          </w:p>
          <w:p w14:paraId="2F55F270" w14:textId="77777777" w:rsidR="00FB5666" w:rsidRPr="00E67299" w:rsidRDefault="00FB5666" w:rsidP="007A2346">
            <w:pPr>
              <w:keepNext/>
              <w:spacing w:after="0" w:line="240" w:lineRule="auto"/>
              <w:jc w:val="center"/>
              <w:outlineLvl w:val="1"/>
              <w:rPr>
                <w:rFonts w:eastAsia="Times New Roman" w:cs="Times New Roman"/>
                <w:noProof/>
                <w:sz w:val="28"/>
                <w:szCs w:val="28"/>
              </w:rPr>
            </w:pPr>
          </w:p>
        </w:tc>
      </w:tr>
    </w:tbl>
    <w:p w14:paraId="07BF8117" w14:textId="77777777" w:rsidR="00FB5666" w:rsidRPr="00E67299" w:rsidRDefault="00FB5666" w:rsidP="00FB5666">
      <w:pPr>
        <w:jc w:val="center"/>
        <w:rPr>
          <w:rFonts w:eastAsia="Times New Roman" w:cs="Times New Roman"/>
          <w:b/>
          <w:bCs/>
          <w:color w:val="111417"/>
          <w:sz w:val="27"/>
          <w:szCs w:val="27"/>
        </w:rPr>
      </w:pPr>
      <w:r w:rsidRPr="00E67299">
        <w:rPr>
          <w:rFonts w:eastAsia="Times New Roman" w:cs="Times New Roman"/>
          <w:b/>
          <w:bCs/>
          <w:color w:val="111417"/>
          <w:sz w:val="27"/>
          <w:szCs w:val="27"/>
        </w:rPr>
        <w:t>KẾ HOẠCH</w:t>
      </w:r>
    </w:p>
    <w:p w14:paraId="58C7F56B" w14:textId="77777777" w:rsidR="00FB5666" w:rsidRPr="00E67299" w:rsidRDefault="00FB5666" w:rsidP="00FB5666">
      <w:pPr>
        <w:jc w:val="center"/>
        <w:rPr>
          <w:rFonts w:eastAsia="Times New Roman" w:cs="Times New Roman"/>
          <w:b/>
          <w:bCs/>
          <w:color w:val="111417"/>
          <w:szCs w:val="26"/>
        </w:rPr>
      </w:pPr>
      <w:r>
        <w:rPr>
          <w:rFonts w:eastAsia="Times New Roman" w:cs="Times New Roman"/>
          <w:b/>
          <w:bCs/>
          <w:noProof/>
          <w:color w:val="111417"/>
          <w:szCs w:val="26"/>
        </w:rPr>
        <mc:AlternateContent>
          <mc:Choice Requires="wps">
            <w:drawing>
              <wp:anchor distT="0" distB="0" distL="114300" distR="114300" simplePos="0" relativeHeight="251662336" behindDoc="0" locked="0" layoutInCell="1" allowOverlap="1" wp14:anchorId="10DE892C" wp14:editId="44410991">
                <wp:simplePos x="0" y="0"/>
                <wp:positionH relativeFrom="column">
                  <wp:posOffset>2150076</wp:posOffset>
                </wp:positionH>
                <wp:positionV relativeFrom="paragraph">
                  <wp:posOffset>209258</wp:posOffset>
                </wp:positionV>
                <wp:extent cx="1771135" cy="0"/>
                <wp:effectExtent l="0" t="0" r="19685" b="19050"/>
                <wp:wrapNone/>
                <wp:docPr id="28" name="Straight Connector 28"/>
                <wp:cNvGraphicFramePr/>
                <a:graphic xmlns:a="http://schemas.openxmlformats.org/drawingml/2006/main">
                  <a:graphicData uri="http://schemas.microsoft.com/office/word/2010/wordprocessingShape">
                    <wps:wsp>
                      <wps:cNvCnPr/>
                      <wps:spPr>
                        <a:xfrm>
                          <a:off x="0" y="0"/>
                          <a:ext cx="17711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F27A05D" id="Straight Connector 2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3pt,16.5pt" to="30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" strokecolor="#4a7ebb"/>
            </w:pict>
          </mc:Fallback>
        </mc:AlternateContent>
      </w:r>
      <w:r w:rsidRPr="00E67299">
        <w:rPr>
          <w:rFonts w:eastAsia="Times New Roman" w:cs="Times New Roman"/>
          <w:b/>
          <w:bCs/>
          <w:color w:val="111417"/>
          <w:szCs w:val="26"/>
        </w:rPr>
        <w:t>Thực hiện ba công khai năm học 2024-2025</w:t>
      </w:r>
    </w:p>
    <w:p w14:paraId="0A1EEE34" w14:textId="77777777" w:rsidR="00FB5666" w:rsidRPr="00E67299" w:rsidRDefault="00FB5666" w:rsidP="00FB5666">
      <w:pPr>
        <w:jc w:val="center"/>
        <w:rPr>
          <w:rFonts w:eastAsia="Times New Roman" w:cs="Times New Roman"/>
          <w:b/>
          <w:bCs/>
          <w:color w:val="111417"/>
          <w:szCs w:val="26"/>
        </w:rPr>
      </w:pPr>
    </w:p>
    <w:p w14:paraId="5FA4FCAF"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
          <w:bCs/>
          <w:color w:val="111417"/>
          <w:szCs w:val="26"/>
        </w:rPr>
        <w:tab/>
      </w:r>
      <w:r w:rsidRPr="00E67299">
        <w:rPr>
          <w:rFonts w:eastAsia="Times New Roman" w:cs="Times New Roman"/>
          <w:bCs/>
          <w:color w:val="111417"/>
          <w:szCs w:val="26"/>
        </w:rPr>
        <w:t>Thực hiện theo</w:t>
      </w:r>
      <w:r>
        <w:rPr>
          <w:rFonts w:eastAsia="Times New Roman" w:cs="Times New Roman"/>
          <w:bCs/>
          <w:color w:val="111417"/>
          <w:szCs w:val="26"/>
        </w:rPr>
        <w:t xml:space="preserve"> Thông tư số 09/2024/TT- BGD&amp;</w:t>
      </w:r>
      <w:r w:rsidRPr="00E67299">
        <w:rPr>
          <w:rFonts w:eastAsia="Times New Roman" w:cs="Times New Roman"/>
          <w:bCs/>
          <w:color w:val="111417"/>
          <w:szCs w:val="26"/>
        </w:rPr>
        <w:t>ĐT ngày 03/06/2024 của Bộ Giáo dục và Đào tạo ban hành Quy định về công khai trong hoạt động của các cơ sở giáo dục thuộc hệ thống giáo dục quốc dân;</w:t>
      </w:r>
    </w:p>
    <w:p w14:paraId="577E9D77"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Căn cứ vào tình hình</w:t>
      </w:r>
      <w:r>
        <w:rPr>
          <w:rFonts w:eastAsia="Times New Roman" w:cs="Times New Roman"/>
          <w:bCs/>
          <w:color w:val="111417"/>
          <w:szCs w:val="26"/>
        </w:rPr>
        <w:t xml:space="preserve"> hoạt động</w:t>
      </w:r>
      <w:r w:rsidRPr="00E67299">
        <w:rPr>
          <w:rFonts w:eastAsia="Times New Roman" w:cs="Times New Roman"/>
          <w:bCs/>
          <w:color w:val="111417"/>
          <w:szCs w:val="26"/>
        </w:rPr>
        <w:t xml:space="preserve"> và đặc điểm của Trung tâm GDTX tỉnh Quảng Nam trong năm học 2023-2024</w:t>
      </w:r>
      <w:r>
        <w:rPr>
          <w:rFonts w:eastAsia="Times New Roman" w:cs="Times New Roman"/>
          <w:bCs/>
          <w:color w:val="111417"/>
          <w:szCs w:val="26"/>
        </w:rPr>
        <w:t xml:space="preserve"> vừa qua</w:t>
      </w:r>
      <w:r w:rsidRPr="00E67299">
        <w:rPr>
          <w:rFonts w:eastAsia="Times New Roman" w:cs="Times New Roman"/>
          <w:bCs/>
          <w:color w:val="111417"/>
          <w:szCs w:val="26"/>
        </w:rPr>
        <w:t>, Trung tâm GDTX tỉnh Quảng Nam xây dựng Kế hoạch thực hiện Ba công khai năm học 2024-2025 của đơn vị như sau:</w:t>
      </w:r>
    </w:p>
    <w:p w14:paraId="2F6BBA8B" w14:textId="77777777" w:rsidR="00FB5666" w:rsidRPr="00E67299" w:rsidRDefault="00FB5666" w:rsidP="00FB5666">
      <w:pPr>
        <w:spacing w:after="120"/>
        <w:jc w:val="both"/>
        <w:rPr>
          <w:rFonts w:eastAsia="Times New Roman" w:cs="Times New Roman"/>
          <w:b/>
          <w:bCs/>
          <w:color w:val="111417"/>
          <w:szCs w:val="26"/>
        </w:rPr>
      </w:pPr>
      <w:r w:rsidRPr="00E67299">
        <w:rPr>
          <w:rFonts w:eastAsia="Times New Roman" w:cs="Times New Roman"/>
          <w:bCs/>
          <w:color w:val="111417"/>
          <w:szCs w:val="26"/>
        </w:rPr>
        <w:tab/>
      </w:r>
      <w:r w:rsidRPr="00E67299">
        <w:rPr>
          <w:rFonts w:eastAsia="Times New Roman" w:cs="Times New Roman"/>
          <w:b/>
          <w:bCs/>
          <w:color w:val="111417"/>
          <w:szCs w:val="26"/>
        </w:rPr>
        <w:t>I. Mục đích yêu cầu:</w:t>
      </w:r>
    </w:p>
    <w:p w14:paraId="52E037F1"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Nhằm nâng cao tinh thần ý thức có trách nhiệm trong đội ngũ cán bộ quản lý và tập thể giáo viên giảng dạy trong đơn vị luôn có ý thức tinh thần nhiệt huyết cống hiến trong sự nghiệp công tác giáo dục tốt.</w:t>
      </w:r>
    </w:p>
    <w:p w14:paraId="7ECF0365"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 xml:space="preserve">Tập thể cán bộ, giáo viên, nhân viên biết được các điều kiện đảm bảo chất lượng </w:t>
      </w:r>
      <w:r>
        <w:rPr>
          <w:rFonts w:eastAsia="Times New Roman" w:cs="Times New Roman"/>
          <w:bCs/>
          <w:color w:val="111417"/>
          <w:szCs w:val="26"/>
        </w:rPr>
        <w:t xml:space="preserve">đào tạo </w:t>
      </w:r>
      <w:r w:rsidRPr="00E67299">
        <w:rPr>
          <w:rFonts w:eastAsia="Times New Roman" w:cs="Times New Roman"/>
          <w:bCs/>
          <w:color w:val="111417"/>
          <w:szCs w:val="26"/>
        </w:rPr>
        <w:t>giáo dục của Trung tâm, biết được chất lượng giáo dục thực tế và nâng cao có biện pháp cải tiến giáo dục tốt của Trung tâm.</w:t>
      </w:r>
    </w:p>
    <w:p w14:paraId="66C23AA4"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Quản lý tốt việc thu và chi ngân sách cũng như việc sử dụng các nguồn quỹ kinh phí đảm bảo có tính khách quan, rõ ràng từng mục, chống các biểu hiện tiêu cực khác. Xây dựng tập thể có tinh thần đoàn kết nội bộ tương thân tương ái tốt.</w:t>
      </w:r>
    </w:p>
    <w:p w14:paraId="445096A5"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Thúc đẩy cán bộ, giáo viên, nhân viên Trung tâm GDTX tỉnh Quảng Nam phấn đấu hoàn thành tốt nhiệm vụ được giao.</w:t>
      </w:r>
    </w:p>
    <w:p w14:paraId="62B01573"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Công khai các hoạt động của Trung tâm trước cán bộ, giáo viên, nhân viên, cũng như phụ huynh của học viên và quần chúng trong đơn vị.</w:t>
      </w:r>
    </w:p>
    <w:p w14:paraId="1833D0FE"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Tổ chức thực hiện tốt các nội dung công khai cơ bản và Quy chế dân chủ ở cơ sở để xây dựng mối đoàn kết nội bộ của Trung tâm.</w:t>
      </w:r>
    </w:p>
    <w:p w14:paraId="16E56F8D" w14:textId="77777777" w:rsidR="00FB5666" w:rsidRPr="00E67299" w:rsidRDefault="00FB5666" w:rsidP="00FB5666">
      <w:pPr>
        <w:spacing w:after="120"/>
        <w:jc w:val="both"/>
        <w:rPr>
          <w:rFonts w:eastAsia="Times New Roman" w:cs="Times New Roman"/>
          <w:b/>
          <w:bCs/>
          <w:color w:val="111417"/>
          <w:szCs w:val="26"/>
        </w:rPr>
      </w:pPr>
      <w:r w:rsidRPr="00E67299">
        <w:rPr>
          <w:rFonts w:eastAsia="Times New Roman" w:cs="Times New Roman"/>
          <w:bCs/>
          <w:color w:val="111417"/>
          <w:szCs w:val="26"/>
        </w:rPr>
        <w:tab/>
      </w:r>
      <w:r w:rsidRPr="00E67299">
        <w:rPr>
          <w:rFonts w:eastAsia="Times New Roman" w:cs="Times New Roman"/>
          <w:b/>
          <w:bCs/>
          <w:color w:val="111417"/>
          <w:szCs w:val="26"/>
        </w:rPr>
        <w:t>II. Nội dung thực hiện ba công khai</w:t>
      </w:r>
    </w:p>
    <w:p w14:paraId="7AF52E70" w14:textId="77777777" w:rsidR="00FB5666" w:rsidRPr="00E67299" w:rsidRDefault="00FB5666" w:rsidP="00FB5666">
      <w:pPr>
        <w:spacing w:after="120"/>
        <w:jc w:val="both"/>
        <w:rPr>
          <w:rFonts w:eastAsia="Times New Roman" w:cs="Times New Roman"/>
          <w:b/>
          <w:bCs/>
          <w:i/>
          <w:color w:val="111417"/>
          <w:szCs w:val="26"/>
        </w:rPr>
      </w:pPr>
      <w:r w:rsidRPr="00E67299">
        <w:rPr>
          <w:rFonts w:eastAsia="Times New Roman" w:cs="Times New Roman"/>
          <w:bCs/>
          <w:color w:val="111417"/>
          <w:szCs w:val="26"/>
        </w:rPr>
        <w:tab/>
      </w:r>
      <w:r w:rsidRPr="00E67299">
        <w:rPr>
          <w:rFonts w:eastAsia="Times New Roman" w:cs="Times New Roman"/>
          <w:b/>
          <w:bCs/>
          <w:i/>
          <w:color w:val="111417"/>
          <w:szCs w:val="26"/>
        </w:rPr>
        <w:t>1. Công khai cam kết chất lượng giáo dục và chất lượng giáo dục thực tế</w:t>
      </w:r>
    </w:p>
    <w:p w14:paraId="2B038410"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 xml:space="preserve">a. Cam kết chất lượng giáo dục: </w:t>
      </w:r>
    </w:p>
    <w:p w14:paraId="40EE1994"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Điều kiện về đối tượng tuyển sinh; chương trình giáo dục mà cơ sở thực hiện; phối hợp với các cơ sở giáo dục nghề nghiệp và gia đình; thái độ của học viên; các hoạt động sinh hoạt hỗ trợ học viên học tập ở các cơ sở giáo dục; có kết quả học tập, hạnh kiểm, sức khỏe của học viên đạt được; khả năng học tập và tiếp thu những kiến thức của giáo viên giảng dạy.</w:t>
      </w:r>
    </w:p>
    <w:p w14:paraId="09580C59"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lastRenderedPageBreak/>
        <w:tab/>
        <w:t>b. Chất lượng giáo dục thực tế:</w:t>
      </w:r>
    </w:p>
    <w:p w14:paraId="11DE740C"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Học viên được đánh giá qua quá trình học tập</w:t>
      </w:r>
      <w:r>
        <w:rPr>
          <w:rFonts w:eastAsia="Times New Roman" w:cs="Times New Roman"/>
          <w:bCs/>
          <w:color w:val="111417"/>
          <w:szCs w:val="26"/>
        </w:rPr>
        <w:t xml:space="preserve"> theo từng năm học. Được</w:t>
      </w:r>
      <w:r w:rsidRPr="00E67299">
        <w:rPr>
          <w:rFonts w:eastAsia="Times New Roman" w:cs="Times New Roman"/>
          <w:bCs/>
          <w:color w:val="111417"/>
          <w:szCs w:val="26"/>
        </w:rPr>
        <w:t xml:space="preserve"> xếp loại học lực, hạnh kiểm, kết quả học tập cuối năm học, dự xét hoặc đủ điều kiện thi tốt nghiệp; thi đỗ Đại học và Cao đẳng; học tập các cơ sở giáo dục nghề nghiệp khác đang theo học ở các khối lớp; kết quả đào tạo liên kết mở các lớp Chức </w:t>
      </w:r>
      <w:r>
        <w:rPr>
          <w:rFonts w:eastAsia="Times New Roman" w:cs="Times New Roman"/>
          <w:bCs/>
          <w:color w:val="111417"/>
          <w:szCs w:val="26"/>
        </w:rPr>
        <w:t xml:space="preserve">danh nghề nghiệp </w:t>
      </w:r>
      <w:r w:rsidRPr="00E67299">
        <w:rPr>
          <w:rFonts w:eastAsia="Times New Roman" w:cs="Times New Roman"/>
          <w:bCs/>
          <w:color w:val="111417"/>
          <w:szCs w:val="26"/>
        </w:rPr>
        <w:t>giáo viê</w:t>
      </w:r>
      <w:r>
        <w:rPr>
          <w:rFonts w:eastAsia="Times New Roman" w:cs="Times New Roman"/>
          <w:bCs/>
          <w:color w:val="111417"/>
          <w:szCs w:val="26"/>
        </w:rPr>
        <w:t xml:space="preserve">n ở các cấp bậc học khác nhau </w:t>
      </w:r>
      <w:r w:rsidRPr="00E67299">
        <w:rPr>
          <w:rFonts w:eastAsia="Times New Roman" w:cs="Times New Roman"/>
          <w:bCs/>
          <w:color w:val="111417"/>
          <w:szCs w:val="26"/>
        </w:rPr>
        <w:t>theo hình thức trực tuyến,</w:t>
      </w:r>
      <w:r>
        <w:rPr>
          <w:rFonts w:eastAsia="Times New Roman" w:cs="Times New Roman"/>
          <w:bCs/>
          <w:color w:val="111417"/>
          <w:szCs w:val="26"/>
        </w:rPr>
        <w:t xml:space="preserve"> học theo Zoom và</w:t>
      </w:r>
      <w:r w:rsidRPr="00E67299">
        <w:rPr>
          <w:rFonts w:eastAsia="Times New Roman" w:cs="Times New Roman"/>
          <w:bCs/>
          <w:color w:val="111417"/>
          <w:szCs w:val="26"/>
        </w:rPr>
        <w:t xml:space="preserve"> học theo thời gian khung chương trình đào tạo của trường Đại học liên kết giảng dạy đặt tại Trung tâm GDTX tỉnh Quảng Nam. </w:t>
      </w:r>
    </w:p>
    <w:p w14:paraId="1E16AF4D"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Liên kết mở</w:t>
      </w:r>
      <w:r>
        <w:rPr>
          <w:rFonts w:eastAsia="Times New Roman" w:cs="Times New Roman"/>
          <w:bCs/>
          <w:color w:val="111417"/>
          <w:szCs w:val="26"/>
        </w:rPr>
        <w:t xml:space="preserve"> các</w:t>
      </w:r>
      <w:r w:rsidRPr="00E67299">
        <w:rPr>
          <w:rFonts w:eastAsia="Times New Roman" w:cs="Times New Roman"/>
          <w:bCs/>
          <w:color w:val="111417"/>
          <w:szCs w:val="26"/>
        </w:rPr>
        <w:t xml:space="preserve"> lớp có trình độ Cao đẳng sư phạm, Đại học hình thức VLVH có phân biệt theo kết quả tốt nghiệp, có số học viên có việc làm sau khi ra trường.</w:t>
      </w:r>
    </w:p>
    <w:p w14:paraId="674FE6A0"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c. Các môn học của từng khóa học, chuyên ngành phân theo khối lớp, nội dung tóm tắt và lịch học giảng dạy; tài liệu tham khảo, phương pháp đánh giá học viên.</w:t>
      </w:r>
    </w:p>
    <w:p w14:paraId="7F4F772A"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d. Giáo trình, tài liệu mà cơ sở tổ chức và biên soạn: công khai tên giáo trình tài liệu, năm xuất bản và kế hoạch biên soạn của các chuyên ngành.</w:t>
      </w:r>
    </w:p>
    <w:p w14:paraId="269B8DCE"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đ. Hoạt động đào tạo, bồi dưỡng theo nhiệm vụ của Nhà nước giao; nhu cầu học của địa phương và doanh nghiệp; công khai các trường Đại học liên kết, số lượng đăng ký đào tạo, thời gian và ngành nghề, trình độ chuyên môn và kết quả được đào tạo.</w:t>
      </w:r>
    </w:p>
    <w:p w14:paraId="389BE1F1"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e. Kiểm định cơ sở giáo dục thường xuyên: công khai đánh giá ngoài, kết quả công nhận đạt hoặc không đạt tiêu chuẩn chất lượng giáo dục.</w:t>
      </w:r>
    </w:p>
    <w:p w14:paraId="4F37A6AD" w14:textId="77777777" w:rsidR="00FB5666" w:rsidRPr="00E67299" w:rsidRDefault="00FB5666" w:rsidP="00FB5666">
      <w:pPr>
        <w:spacing w:after="120"/>
        <w:jc w:val="both"/>
        <w:rPr>
          <w:rFonts w:eastAsia="Times New Roman" w:cs="Times New Roman"/>
          <w:b/>
          <w:bCs/>
          <w:i/>
          <w:color w:val="111417"/>
          <w:szCs w:val="26"/>
        </w:rPr>
      </w:pPr>
      <w:r w:rsidRPr="00E67299">
        <w:rPr>
          <w:rFonts w:eastAsia="Times New Roman" w:cs="Times New Roman"/>
          <w:bCs/>
          <w:color w:val="111417"/>
          <w:szCs w:val="26"/>
        </w:rPr>
        <w:tab/>
      </w:r>
      <w:r w:rsidRPr="00E67299">
        <w:rPr>
          <w:rFonts w:eastAsia="Times New Roman" w:cs="Times New Roman"/>
          <w:b/>
          <w:bCs/>
          <w:i/>
          <w:color w:val="111417"/>
          <w:szCs w:val="26"/>
        </w:rPr>
        <w:t>2. Công khai điều kiện đảm bảo chất lượng giáo dục:</w:t>
      </w:r>
    </w:p>
    <w:p w14:paraId="250229AB"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a. Cơ sở vật chất:</w:t>
      </w:r>
    </w:p>
    <w:p w14:paraId="5F055166"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Số lượng phòng học, diện tích phòng học, phòng chức năng, tính bình quân trên một học viên; số thiết bị dạy học ở các phòng học tối thiểu và hiện có vẫn còn thiếu so với theo quy định của trường phổ thông đúng chuẩn.</w:t>
      </w:r>
    </w:p>
    <w:p w14:paraId="6A108C72"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b. Đội ngũ nhà giáo, cán bộ quản lý, nhân viên</w:t>
      </w:r>
    </w:p>
    <w:p w14:paraId="17E8DBD1"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 xml:space="preserve">Số lượng, chức danh có phân biệt theo trình độ được qua đào tạo </w:t>
      </w:r>
      <w:r>
        <w:rPr>
          <w:rFonts w:eastAsia="Times New Roman" w:cs="Times New Roman"/>
          <w:bCs/>
          <w:color w:val="111417"/>
          <w:szCs w:val="26"/>
        </w:rPr>
        <w:t>(Theo Biểu mẫu kèm theo Thông tư số 09/2024/TT- BGD&amp;ĐT ngày 03/06/2024).</w:t>
      </w:r>
    </w:p>
    <w:p w14:paraId="5B4591B4"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Số lượng giáo viên, cán bộ quản lý, nhân viên trình độ</w:t>
      </w:r>
      <w:r>
        <w:rPr>
          <w:rFonts w:eastAsia="Times New Roman" w:cs="Times New Roman"/>
          <w:bCs/>
          <w:color w:val="111417"/>
          <w:szCs w:val="26"/>
        </w:rPr>
        <w:t xml:space="preserve"> đã</w:t>
      </w:r>
      <w:r w:rsidRPr="00E67299">
        <w:rPr>
          <w:rFonts w:eastAsia="Times New Roman" w:cs="Times New Roman"/>
          <w:bCs/>
          <w:color w:val="111417"/>
          <w:szCs w:val="26"/>
        </w:rPr>
        <w:t xml:space="preserve"> được qua đào tạo, bồi dưỡng; hình thức, nội dung, trình độ và thời gian đào tạo.</w:t>
      </w:r>
    </w:p>
    <w:p w14:paraId="16F389C0"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3. Công khai thu chi tài chính:</w:t>
      </w:r>
    </w:p>
    <w:p w14:paraId="17F838AF"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a. Thực hiện như quy định của Bộ Giáo dục và Đào tạo (ban hành kèm theo Thông tư số 09/2024</w:t>
      </w:r>
      <w:r>
        <w:rPr>
          <w:rFonts w:eastAsia="Times New Roman" w:cs="Times New Roman"/>
          <w:bCs/>
          <w:color w:val="111417"/>
          <w:szCs w:val="26"/>
        </w:rPr>
        <w:t>/TT- BGD&amp;</w:t>
      </w:r>
      <w:r w:rsidRPr="00E67299">
        <w:rPr>
          <w:rFonts w:eastAsia="Times New Roman" w:cs="Times New Roman"/>
          <w:bCs/>
          <w:color w:val="111417"/>
          <w:szCs w:val="26"/>
        </w:rPr>
        <w:t>ĐT).</w:t>
      </w:r>
    </w:p>
    <w:p w14:paraId="28A35250"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 xml:space="preserve">b. Mức thu học phí và các khoản thu theo quy định của Nhà nước cho </w:t>
      </w:r>
      <w:r>
        <w:rPr>
          <w:rFonts w:eastAsia="Times New Roman" w:cs="Times New Roman"/>
          <w:bCs/>
          <w:color w:val="111417"/>
          <w:szCs w:val="26"/>
        </w:rPr>
        <w:t>từng năm học thu theo Nghị quyết số 17/2024/NQ-HĐND ngày 11 tháng 7 năm 2024 của Hội đồng nhân dân tỉnh Quảng Nam.</w:t>
      </w:r>
    </w:p>
    <w:p w14:paraId="1C999E82"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lastRenderedPageBreak/>
        <w:tab/>
        <w:t>c. Các nguồn thu ngoài học phí: có các nguồn thu từ đơn vị liên kết đào tạo, nghiên cứu khoa học, chuyển giao công nghệ, sản xuất, tư vấn và các nguồn thu hợp pháp khác.</w:t>
      </w:r>
    </w:p>
    <w:p w14:paraId="4C6293BA"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d. Chính sách học bổng và kết quả thực hiện trong từng năm học.</w:t>
      </w:r>
    </w:p>
    <w:p w14:paraId="7CCA30BE" w14:textId="77777777" w:rsidR="00FB5666" w:rsidRPr="00E67299" w:rsidRDefault="00FB5666" w:rsidP="00FB5666">
      <w:pPr>
        <w:spacing w:after="120"/>
        <w:jc w:val="both"/>
        <w:rPr>
          <w:rFonts w:eastAsia="Times New Roman" w:cs="Times New Roman"/>
          <w:b/>
          <w:bCs/>
          <w:color w:val="111417"/>
          <w:szCs w:val="26"/>
        </w:rPr>
      </w:pPr>
      <w:r w:rsidRPr="00E67299">
        <w:rPr>
          <w:rFonts w:eastAsia="Times New Roman" w:cs="Times New Roman"/>
          <w:bCs/>
          <w:color w:val="111417"/>
          <w:szCs w:val="26"/>
        </w:rPr>
        <w:tab/>
      </w:r>
      <w:r w:rsidRPr="00E67299">
        <w:rPr>
          <w:rFonts w:eastAsia="Times New Roman" w:cs="Times New Roman"/>
          <w:b/>
          <w:bCs/>
          <w:color w:val="111417"/>
          <w:szCs w:val="26"/>
        </w:rPr>
        <w:t>III. Thời gian công khai</w:t>
      </w:r>
    </w:p>
    <w:p w14:paraId="73BCD19F"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 xml:space="preserve">Công khai các điều kiện cơ sở </w:t>
      </w:r>
      <w:r>
        <w:rPr>
          <w:rFonts w:eastAsia="Times New Roman" w:cs="Times New Roman"/>
          <w:bCs/>
          <w:color w:val="111417"/>
          <w:szCs w:val="26"/>
        </w:rPr>
        <w:t>vật chất, thời gian: tháng 11</w:t>
      </w:r>
      <w:r w:rsidRPr="00E67299">
        <w:rPr>
          <w:rFonts w:eastAsia="Times New Roman" w:cs="Times New Roman"/>
          <w:bCs/>
          <w:color w:val="111417"/>
          <w:szCs w:val="26"/>
        </w:rPr>
        <w:t>/2024.</w:t>
      </w:r>
    </w:p>
    <w:p w14:paraId="2DC2B07B"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Công khai về chất lượng đào tạo, thời gian: Đầu năm học, cuối học kỳ 1, học kỳ 2 và cuối năm học.</w:t>
      </w:r>
    </w:p>
    <w:p w14:paraId="20F931EE"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Công khai về tài chính (đặc biệt là công khai về các khoản đóng góp tự nguyện từ PHHS). Thời gian thực hiện 6 tháng 1 lần đối với tài chính ngân sách và cuối mỗi kỳ học đối với các khoản đóng góp tự nguyện của PHHS.</w:t>
      </w:r>
    </w:p>
    <w:p w14:paraId="12FD49BC"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Bất cứ thời điểm lúc nào cha mẹ của học viên và những người quan tâm, đều có thể tiếp cận thông tin như</w:t>
      </w:r>
      <w:r>
        <w:rPr>
          <w:rFonts w:eastAsia="Times New Roman" w:cs="Times New Roman"/>
          <w:bCs/>
          <w:color w:val="111417"/>
          <w:szCs w:val="26"/>
        </w:rPr>
        <w:t xml:space="preserve"> trên. </w:t>
      </w:r>
      <w:r w:rsidRPr="00E67299">
        <w:rPr>
          <w:rFonts w:eastAsia="Times New Roman" w:cs="Times New Roman"/>
          <w:bCs/>
          <w:color w:val="111417"/>
          <w:szCs w:val="26"/>
        </w:rPr>
        <w:t>Trung tâm GDTX có thể cung cấp thêm các thông tin liên quan khác để cha mẹ học viên nắm rõ và hiểu hơn về học GDTX cấp THPT là một điều rất cần thiết trong công vi</w:t>
      </w:r>
      <w:r>
        <w:rPr>
          <w:rFonts w:eastAsia="Times New Roman" w:cs="Times New Roman"/>
          <w:bCs/>
          <w:color w:val="111417"/>
          <w:szCs w:val="26"/>
        </w:rPr>
        <w:t>ệc lẫn cả trong cuộc sống hằng ngày.</w:t>
      </w:r>
    </w:p>
    <w:p w14:paraId="1A0275B6"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Đối với học viên mới nhập học cần phổ biến trong cuộc họp đầu năm học để cha mẹ học viên hiểu và quan tâm sâu xa hơn trước khi Trung tâm GDTX tỉnh Quảng Nam tổ chức dạy học theo chương trình đào tạo của Bộ Giáo dục và Đào tạo hướng dẫn.</w:t>
      </w:r>
    </w:p>
    <w:p w14:paraId="6B6A745F" w14:textId="77777777" w:rsidR="00FB5666" w:rsidRPr="00E67299" w:rsidRDefault="00FB5666" w:rsidP="00FB5666">
      <w:pPr>
        <w:spacing w:after="120"/>
        <w:jc w:val="both"/>
        <w:rPr>
          <w:rFonts w:eastAsia="Times New Roman" w:cs="Times New Roman"/>
          <w:b/>
          <w:bCs/>
          <w:color w:val="111417"/>
          <w:szCs w:val="26"/>
        </w:rPr>
      </w:pPr>
      <w:r w:rsidRPr="00E67299">
        <w:rPr>
          <w:rFonts w:eastAsia="Times New Roman" w:cs="Times New Roman"/>
          <w:bCs/>
          <w:color w:val="111417"/>
          <w:szCs w:val="26"/>
        </w:rPr>
        <w:tab/>
      </w:r>
      <w:r w:rsidRPr="00E67299">
        <w:rPr>
          <w:rFonts w:eastAsia="Times New Roman" w:cs="Times New Roman"/>
          <w:b/>
          <w:bCs/>
          <w:color w:val="111417"/>
          <w:szCs w:val="26"/>
        </w:rPr>
        <w:t>2. Biện pháp thực hiện</w:t>
      </w:r>
    </w:p>
    <w:p w14:paraId="6DFF559F"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Thực hiện 3 công khai ở năm học 2024-2025 là để đảm bảo có tính đảm bảo công bằng, có tính khách quan nhằm đánh giá đúng việc thực hiện quy định của Nhà nước về công khai minh bạch các hoạt động trong đơn vị, chi ngân sách đúng. Thực hành tiết kiệm, chống lãng phí, chống tham nhũng trong nội bộ Trung tâm. Giám sát việc thu và chi các khoản tự nguyện của hội phụ huynh học viên theo đúng quy chế của ban đại diện phụ huynh.</w:t>
      </w:r>
    </w:p>
    <w:p w14:paraId="7784B15D"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r>
      <w:r w:rsidRPr="00E67299">
        <w:rPr>
          <w:rFonts w:eastAsia="Times New Roman" w:cs="Times New Roman"/>
          <w:b/>
          <w:bCs/>
          <w:color w:val="111417"/>
          <w:szCs w:val="26"/>
        </w:rPr>
        <w:t>Về cơ sở vật chất:</w:t>
      </w:r>
      <w:r w:rsidRPr="00E67299">
        <w:rPr>
          <w:rFonts w:eastAsia="Times New Roman" w:cs="Times New Roman"/>
          <w:bCs/>
          <w:color w:val="111417"/>
          <w:szCs w:val="26"/>
        </w:rPr>
        <w:t xml:space="preserve"> Tập thể CB, GV, NV và ban đại diện cha mẹ học viên bàn bạc và thống nhất về kế hoạch mua sắm thêm trang thiết bị để phục vụ cho việc dạy và học, sữa chữa phòng học, nguồn tài chính đóng góp để cải tạo, sữa chữa, khuôn viên cơ quan được đảm bảo đẹp hơn, quyết toán kinh phí sau cải tạo và sữa chữa thực hiện công khai minh bạch, rõ ràng hơn.</w:t>
      </w:r>
    </w:p>
    <w:p w14:paraId="38953FB0"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r>
      <w:r w:rsidRPr="00E67299">
        <w:rPr>
          <w:rFonts w:eastAsia="Times New Roman" w:cs="Times New Roman"/>
          <w:b/>
          <w:bCs/>
          <w:color w:val="111417"/>
          <w:szCs w:val="26"/>
        </w:rPr>
        <w:t>Về chất lượng giáo dục của Trung tâm GDTX tỉnh:</w:t>
      </w:r>
      <w:r w:rsidRPr="00E67299">
        <w:rPr>
          <w:rFonts w:eastAsia="Times New Roman" w:cs="Times New Roman"/>
          <w:bCs/>
          <w:color w:val="111417"/>
          <w:szCs w:val="26"/>
        </w:rPr>
        <w:t xml:space="preserve"> Hằng tháng, hằng kỳ việc kiểm tra chất lượng thực hiện được thông báo công khai trước tập thể. Thông báo về kế hoạch kiểm tra, thông báo kết quả kiểm tra để tất cả mọi người trong đơn vị được biết nắm bắt rõ kết quả về mặt giáo dục học viên trong toàn Trung tâm, có đánh giá, rút kinh nghiệm, đưa ra bài học cụ thể có thể có dẫn chứng rõ ràng hơn.</w:t>
      </w:r>
    </w:p>
    <w:p w14:paraId="50B90300" w14:textId="77777777" w:rsidR="00FB5666" w:rsidRPr="00E67299"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r>
      <w:r w:rsidRPr="00E67299">
        <w:rPr>
          <w:rFonts w:eastAsia="Times New Roman" w:cs="Times New Roman"/>
          <w:b/>
          <w:bCs/>
          <w:color w:val="111417"/>
          <w:szCs w:val="26"/>
        </w:rPr>
        <w:t xml:space="preserve">Về tài chính: </w:t>
      </w:r>
      <w:r w:rsidRPr="00E67299">
        <w:rPr>
          <w:rFonts w:eastAsia="Times New Roman" w:cs="Times New Roman"/>
          <w:bCs/>
          <w:color w:val="111417"/>
          <w:szCs w:val="26"/>
        </w:rPr>
        <w:t xml:space="preserve">Việc thực hiện công việc tài chính trong đơn vị công khai theo tháng, theo quý, theo năm công khai tài chính 2 lần hoặc 3 lần và kèm bản quyết toán tài </w:t>
      </w:r>
      <w:r w:rsidRPr="00E67299">
        <w:rPr>
          <w:rFonts w:eastAsia="Times New Roman" w:cs="Times New Roman"/>
          <w:bCs/>
          <w:color w:val="111417"/>
          <w:szCs w:val="26"/>
        </w:rPr>
        <w:lastRenderedPageBreak/>
        <w:t>chính được niêm yết tại phòng họp của Trung tâm thời gian là 01 tuần (có giám sát của thanh tra nhân dân Trung tâm).</w:t>
      </w:r>
    </w:p>
    <w:p w14:paraId="64B4FC73" w14:textId="77777777" w:rsidR="00FB5666" w:rsidRDefault="00FB5666" w:rsidP="00FB5666">
      <w:pPr>
        <w:spacing w:after="120"/>
        <w:jc w:val="both"/>
        <w:rPr>
          <w:rFonts w:eastAsia="Times New Roman" w:cs="Times New Roman"/>
          <w:bCs/>
          <w:color w:val="111417"/>
          <w:szCs w:val="26"/>
        </w:rPr>
      </w:pPr>
      <w:r w:rsidRPr="00E67299">
        <w:rPr>
          <w:rFonts w:eastAsia="Times New Roman" w:cs="Times New Roman"/>
          <w:bCs/>
          <w:color w:val="111417"/>
          <w:szCs w:val="26"/>
        </w:rPr>
        <w:tab/>
        <w:t>Trên đây là Kế hoạch thực hiện nội dung “Ba công khai”của Trung tâm GDTX tỉnh Quảng Nam, năm học 2024-2025. Trung tâm GDTX tỉnh Quảng Nam đề nghị các phòng ban, nhân viên được phân công nhiệm vụ có liên quan thực hiện đúng nội dung kế hoạch đã đề ra để hoàn thành tốt nhiệm vụ năm học.</w:t>
      </w:r>
    </w:p>
    <w:p w14:paraId="0E45C5BC" w14:textId="77777777" w:rsidR="00FB5666" w:rsidRPr="00E67299" w:rsidRDefault="00FB5666" w:rsidP="00FB5666">
      <w:pPr>
        <w:spacing w:after="120"/>
        <w:jc w:val="both"/>
        <w:rPr>
          <w:rFonts w:eastAsia="Times New Roman" w:cs="Times New Roman"/>
          <w:bCs/>
          <w:color w:val="111417"/>
          <w:szCs w:val="26"/>
        </w:rPr>
      </w:pPr>
    </w:p>
    <w:p w14:paraId="25BF7DBD" w14:textId="77777777" w:rsidR="00FB5666" w:rsidRPr="00E67299" w:rsidRDefault="00FB5666" w:rsidP="00FB5666">
      <w:pPr>
        <w:spacing w:after="0"/>
        <w:jc w:val="both"/>
        <w:rPr>
          <w:rFonts w:eastAsia="Times New Roman" w:cs="Times New Roman"/>
          <w:b/>
          <w:szCs w:val="26"/>
        </w:rPr>
      </w:pPr>
      <w:r w:rsidRPr="00E67299">
        <w:rPr>
          <w:rFonts w:eastAsia="Times New Roman" w:cs="Times New Roman"/>
          <w:b/>
          <w:i/>
          <w:sz w:val="22"/>
        </w:rPr>
        <w:t>Nơi nhận:</w:t>
      </w:r>
      <w:r w:rsidRPr="00E67299">
        <w:rPr>
          <w:rFonts w:eastAsia="Times New Roman" w:cs="Times New Roman"/>
          <w:b/>
          <w:i/>
          <w:sz w:val="22"/>
        </w:rPr>
        <w:tab/>
      </w:r>
      <w:r w:rsidRPr="00E67299">
        <w:rPr>
          <w:rFonts w:eastAsia="Times New Roman" w:cs="Times New Roman"/>
          <w:b/>
          <w:i/>
          <w:sz w:val="22"/>
        </w:rPr>
        <w:tab/>
      </w:r>
      <w:r w:rsidRPr="00E67299">
        <w:rPr>
          <w:rFonts w:eastAsia="Times New Roman" w:cs="Times New Roman"/>
          <w:b/>
          <w:i/>
          <w:sz w:val="22"/>
        </w:rPr>
        <w:tab/>
      </w:r>
      <w:r w:rsidRPr="00E67299">
        <w:rPr>
          <w:rFonts w:eastAsia="Times New Roman" w:cs="Times New Roman"/>
          <w:b/>
          <w:i/>
          <w:sz w:val="22"/>
        </w:rPr>
        <w:tab/>
      </w:r>
      <w:r w:rsidRPr="00E67299">
        <w:rPr>
          <w:rFonts w:eastAsia="Times New Roman" w:cs="Times New Roman"/>
          <w:b/>
          <w:i/>
          <w:sz w:val="22"/>
        </w:rPr>
        <w:tab/>
      </w:r>
      <w:r w:rsidRPr="00E67299">
        <w:rPr>
          <w:rFonts w:eastAsia="Times New Roman" w:cs="Times New Roman"/>
          <w:b/>
          <w:i/>
          <w:sz w:val="22"/>
        </w:rPr>
        <w:tab/>
        <w:t xml:space="preserve">  </w:t>
      </w:r>
      <w:r w:rsidRPr="00E67299">
        <w:rPr>
          <w:rFonts w:eastAsia="Times New Roman" w:cs="Times New Roman"/>
          <w:b/>
          <w:i/>
          <w:sz w:val="22"/>
        </w:rPr>
        <w:tab/>
        <w:t xml:space="preserve">    </w:t>
      </w:r>
      <w:r w:rsidRPr="00E67299">
        <w:rPr>
          <w:rFonts w:eastAsia="Times New Roman" w:cs="Times New Roman"/>
          <w:b/>
          <w:szCs w:val="26"/>
        </w:rPr>
        <w:t>GIÁM ĐỐC</w:t>
      </w:r>
    </w:p>
    <w:p w14:paraId="3E47773B" w14:textId="1F5CA4B2" w:rsidR="00FB5666" w:rsidRPr="00C02CE9" w:rsidRDefault="00FB5666" w:rsidP="00FB5666">
      <w:pPr>
        <w:jc w:val="both"/>
        <w:rPr>
          <w:rFonts w:eastAsia="Times New Roman" w:cs="Times New Roman"/>
          <w:bCs/>
          <w:color w:val="111417"/>
          <w:sz w:val="22"/>
        </w:rPr>
      </w:pPr>
      <w:r w:rsidRPr="00E67299">
        <w:rPr>
          <w:rFonts w:eastAsia="Times New Roman" w:cs="Times New Roman"/>
          <w:bCs/>
          <w:color w:val="111417"/>
          <w:sz w:val="20"/>
          <w:szCs w:val="20"/>
        </w:rPr>
        <w:t>- Sở GD&amp;ĐT Quảng Nam;</w:t>
      </w:r>
      <w:r w:rsidR="00C02CE9">
        <w:rPr>
          <w:rFonts w:eastAsia="Times New Roman" w:cs="Times New Roman"/>
          <w:bCs/>
          <w:color w:val="111417"/>
          <w:sz w:val="20"/>
          <w:szCs w:val="20"/>
        </w:rPr>
        <w:tab/>
      </w:r>
      <w:r w:rsidR="00C02CE9">
        <w:rPr>
          <w:rFonts w:eastAsia="Times New Roman" w:cs="Times New Roman"/>
          <w:bCs/>
          <w:color w:val="111417"/>
          <w:sz w:val="20"/>
          <w:szCs w:val="20"/>
        </w:rPr>
        <w:tab/>
      </w:r>
      <w:r w:rsidR="00C02CE9">
        <w:rPr>
          <w:rFonts w:eastAsia="Times New Roman" w:cs="Times New Roman"/>
          <w:bCs/>
          <w:color w:val="111417"/>
          <w:sz w:val="20"/>
          <w:szCs w:val="20"/>
        </w:rPr>
        <w:tab/>
      </w:r>
      <w:r w:rsidR="00C02CE9">
        <w:rPr>
          <w:rFonts w:eastAsia="Times New Roman" w:cs="Times New Roman"/>
          <w:bCs/>
          <w:color w:val="111417"/>
          <w:sz w:val="20"/>
          <w:szCs w:val="20"/>
        </w:rPr>
        <w:tab/>
      </w:r>
      <w:r w:rsidR="00C02CE9">
        <w:rPr>
          <w:rFonts w:eastAsia="Times New Roman" w:cs="Times New Roman"/>
          <w:bCs/>
          <w:color w:val="111417"/>
          <w:sz w:val="20"/>
          <w:szCs w:val="20"/>
        </w:rPr>
        <w:tab/>
        <w:t xml:space="preserve">            </w:t>
      </w:r>
      <w:r w:rsidR="00C02CE9" w:rsidRPr="00C02CE9">
        <w:rPr>
          <w:rFonts w:eastAsia="Times New Roman" w:cs="Times New Roman"/>
          <w:bCs/>
          <w:color w:val="111417"/>
          <w:sz w:val="22"/>
        </w:rPr>
        <w:t>(đã ký)</w:t>
      </w:r>
    </w:p>
    <w:p w14:paraId="56B5D56B" w14:textId="77777777" w:rsidR="00FB5666" w:rsidRPr="00E67299" w:rsidRDefault="00FB5666" w:rsidP="00FB5666">
      <w:pPr>
        <w:jc w:val="both"/>
        <w:rPr>
          <w:rFonts w:eastAsia="Times New Roman" w:cs="Times New Roman"/>
          <w:bCs/>
          <w:color w:val="111417"/>
          <w:sz w:val="20"/>
          <w:szCs w:val="20"/>
        </w:rPr>
      </w:pPr>
      <w:r w:rsidRPr="00E67299">
        <w:rPr>
          <w:rFonts w:eastAsia="Times New Roman" w:cs="Times New Roman"/>
          <w:bCs/>
          <w:color w:val="111417"/>
          <w:sz w:val="20"/>
          <w:szCs w:val="20"/>
        </w:rPr>
        <w:t>- CB, GV, NV (để thực hiện);</w:t>
      </w:r>
    </w:p>
    <w:p w14:paraId="18C9528C" w14:textId="77777777" w:rsidR="00FB5666" w:rsidRPr="00E67299" w:rsidRDefault="00FB5666" w:rsidP="00FB5666">
      <w:pPr>
        <w:jc w:val="both"/>
        <w:rPr>
          <w:rFonts w:eastAsia="Times New Roman" w:cs="Times New Roman"/>
          <w:bCs/>
          <w:color w:val="111417"/>
          <w:sz w:val="20"/>
          <w:szCs w:val="20"/>
        </w:rPr>
      </w:pPr>
      <w:r w:rsidRPr="00E67299">
        <w:rPr>
          <w:rFonts w:eastAsia="Times New Roman" w:cs="Times New Roman"/>
          <w:bCs/>
          <w:color w:val="111417"/>
          <w:sz w:val="20"/>
          <w:szCs w:val="20"/>
        </w:rPr>
        <w:t>- Phòng Tài vụ;</w:t>
      </w:r>
    </w:p>
    <w:p w14:paraId="7E70952E" w14:textId="77777777" w:rsidR="00FB5666" w:rsidRPr="00E67299" w:rsidRDefault="00FB5666" w:rsidP="00FB5666">
      <w:pPr>
        <w:jc w:val="both"/>
        <w:rPr>
          <w:rFonts w:eastAsia="Times New Roman" w:cs="Times New Roman"/>
          <w:bCs/>
          <w:color w:val="111417"/>
          <w:sz w:val="20"/>
          <w:szCs w:val="20"/>
        </w:rPr>
      </w:pPr>
      <w:r w:rsidRPr="00E67299">
        <w:rPr>
          <w:rFonts w:eastAsia="Times New Roman" w:cs="Times New Roman"/>
          <w:bCs/>
          <w:color w:val="111417"/>
          <w:sz w:val="20"/>
          <w:szCs w:val="20"/>
        </w:rPr>
        <w:t>- Lưu VT.</w:t>
      </w:r>
    </w:p>
    <w:p w14:paraId="4017FB20" w14:textId="77777777" w:rsidR="00FB5666" w:rsidRPr="00E67299" w:rsidRDefault="00FB5666" w:rsidP="00FB5666">
      <w:pPr>
        <w:rPr>
          <w:rFonts w:eastAsia="Times New Roman" w:cs="Times New Roman"/>
          <w:bCs/>
          <w:color w:val="111417"/>
          <w:szCs w:val="26"/>
        </w:rPr>
      </w:pPr>
    </w:p>
    <w:p w14:paraId="7309C660" w14:textId="77777777" w:rsidR="00923299" w:rsidRDefault="00923299" w:rsidP="00FB5666">
      <w:pPr>
        <w:jc w:val="center"/>
      </w:pPr>
    </w:p>
    <w:sectPr w:rsidR="0092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666"/>
    <w:rsid w:val="001E601A"/>
    <w:rsid w:val="00923299"/>
    <w:rsid w:val="00A476AD"/>
    <w:rsid w:val="00B55CF5"/>
    <w:rsid w:val="00C02CE9"/>
    <w:rsid w:val="00FB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23EB40"/>
  <w15:docId w15:val="{43C2C7FF-9452-4CBE-A86D-132D91F0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66"/>
    <w:pPr>
      <w:contextualSpacing/>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2024-10-23T01:17:00Z</dcterms:created>
  <dcterms:modified xsi:type="dcterms:W3CDTF">2024-10-23T08:02:00Z</dcterms:modified>
</cp:coreProperties>
</file>